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54" w:rsidRPr="00061CC8" w:rsidRDefault="001A6754" w:rsidP="001A6754">
      <w:pPr>
        <w:autoSpaceDE w:val="0"/>
        <w:autoSpaceDN w:val="0"/>
        <w:adjustRightInd w:val="0"/>
        <w:ind w:firstLine="700"/>
        <w:jc w:val="both"/>
        <w:rPr>
          <w:rFonts w:ascii="PT Astra Serif" w:eastAsia="Times New Roman" w:hAnsi="PT Astra Serif" w:cs="Times New Roman"/>
          <w:color w:val="000000"/>
          <w:sz w:val="28"/>
          <w:szCs w:val="24"/>
          <w:lang w:eastAsia="ru-RU"/>
        </w:rPr>
      </w:pPr>
      <w:r w:rsidRPr="00061CC8">
        <w:rPr>
          <w:rFonts w:ascii="PT Astra Serif" w:eastAsia="Times New Roman" w:hAnsi="PT Astra Serif" w:cs="Times New Roman"/>
          <w:color w:val="000000"/>
          <w:sz w:val="28"/>
          <w:szCs w:val="24"/>
          <w:lang w:eastAsia="ru-RU"/>
        </w:rPr>
        <w:t>Управление по делам записи актов гражданского состояния Правительства Саратовской области.</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Сокращенное наименование: Управление по делам ЗАГС Правительства Саратовской области</w:t>
      </w:r>
    </w:p>
    <w:p w:rsidR="001A6754" w:rsidRPr="00061CC8" w:rsidRDefault="001A6754" w:rsidP="001A6754">
      <w:pPr>
        <w:autoSpaceDE w:val="0"/>
        <w:autoSpaceDN w:val="0"/>
        <w:adjustRightInd w:val="0"/>
        <w:ind w:firstLine="700"/>
        <w:jc w:val="both"/>
        <w:rPr>
          <w:rFonts w:ascii="PT Astra Serif" w:eastAsia="Times New Roman" w:hAnsi="PT Astra Serif" w:cs="Times New Roman"/>
          <w:color w:val="000000"/>
          <w:sz w:val="28"/>
          <w:szCs w:val="24"/>
          <w:lang w:eastAsia="ru-RU"/>
        </w:rPr>
      </w:pPr>
      <w:r w:rsidRPr="00061CC8">
        <w:rPr>
          <w:rFonts w:ascii="PT Astra Serif" w:eastAsia="Times New Roman" w:hAnsi="PT Astra Serif" w:cs="Times New Roman"/>
          <w:color w:val="000000"/>
          <w:sz w:val="28"/>
          <w:szCs w:val="24"/>
          <w:lang w:eastAsia="ru-RU"/>
        </w:rPr>
        <w:t>Основной деятельностью Управления является государственная регистрация актов рождения, смерти, заключения брака, расторжения брака, установление отцовства, усыновления, перемена имена, выдача соответствующих документов, осуществление иных юридически значимых действий.</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За 2021 год сотрудниками Управления по делам ЗАГС зарегистрировано актов гражданского состояния, всего 95 246, в том числе:</w:t>
      </w:r>
    </w:p>
    <w:p w:rsidR="001A6754" w:rsidRPr="00061CC8" w:rsidRDefault="001A6754" w:rsidP="001A6754">
      <w:pPr>
        <w:numPr>
          <w:ilvl w:val="0"/>
          <w:numId w:val="1"/>
        </w:numPr>
        <w:autoSpaceDE w:val="0"/>
        <w:autoSpaceDN w:val="0"/>
        <w:adjustRightInd w:val="0"/>
        <w:jc w:val="left"/>
        <w:rPr>
          <w:rFonts w:ascii="PT Astra Serif" w:eastAsia="Times New Roman" w:hAnsi="PT Astra Serif" w:cs="Calibri"/>
          <w:color w:val="000000"/>
          <w:sz w:val="28"/>
          <w:szCs w:val="24"/>
          <w:lang w:eastAsia="ru-RU"/>
        </w:rPr>
      </w:pPr>
      <w:r w:rsidRPr="00061CC8">
        <w:rPr>
          <w:rFonts w:ascii="PT Astra Serif" w:eastAsia="Times New Roman" w:hAnsi="PT Astra Serif" w:cs="Times New Roman"/>
          <w:color w:val="000000"/>
          <w:sz w:val="28"/>
          <w:szCs w:val="24"/>
          <w:lang w:eastAsia="ru-RU"/>
        </w:rPr>
        <w:t>о рождении - 18 51;</w:t>
      </w:r>
    </w:p>
    <w:p w:rsidR="001A6754" w:rsidRPr="00061CC8" w:rsidRDefault="001A6754" w:rsidP="001A6754">
      <w:pPr>
        <w:numPr>
          <w:ilvl w:val="0"/>
          <w:numId w:val="1"/>
        </w:numPr>
        <w:autoSpaceDE w:val="0"/>
        <w:autoSpaceDN w:val="0"/>
        <w:adjustRightInd w:val="0"/>
        <w:jc w:val="left"/>
        <w:rPr>
          <w:rFonts w:ascii="PT Astra Serif" w:eastAsia="Times New Roman" w:hAnsi="PT Astra Serif" w:cs="Calibri"/>
          <w:color w:val="000000"/>
          <w:sz w:val="28"/>
          <w:szCs w:val="24"/>
          <w:lang w:eastAsia="ru-RU"/>
        </w:rPr>
      </w:pPr>
      <w:r w:rsidRPr="00061CC8">
        <w:rPr>
          <w:rFonts w:ascii="PT Astra Serif" w:eastAsia="Times New Roman" w:hAnsi="PT Astra Serif" w:cs="Times New Roman"/>
          <w:color w:val="000000"/>
          <w:sz w:val="28"/>
          <w:szCs w:val="24"/>
          <w:lang w:eastAsia="ru-RU"/>
        </w:rPr>
        <w:t>о смерти - 49 070;</w:t>
      </w:r>
    </w:p>
    <w:p w:rsidR="001A6754" w:rsidRPr="00061CC8" w:rsidRDefault="001A6754" w:rsidP="001A6754">
      <w:pPr>
        <w:numPr>
          <w:ilvl w:val="0"/>
          <w:numId w:val="1"/>
        </w:numPr>
        <w:autoSpaceDE w:val="0"/>
        <w:autoSpaceDN w:val="0"/>
        <w:adjustRightInd w:val="0"/>
        <w:jc w:val="left"/>
        <w:rPr>
          <w:rFonts w:ascii="PT Astra Serif" w:eastAsia="Times New Roman" w:hAnsi="PT Astra Serif" w:cs="Calibri"/>
          <w:color w:val="000000"/>
          <w:sz w:val="28"/>
          <w:szCs w:val="24"/>
          <w:lang w:eastAsia="ru-RU"/>
        </w:rPr>
      </w:pPr>
      <w:r w:rsidRPr="00061CC8">
        <w:rPr>
          <w:rFonts w:ascii="PT Astra Serif" w:eastAsia="Times New Roman" w:hAnsi="PT Astra Serif" w:cs="Times New Roman"/>
          <w:color w:val="000000"/>
          <w:sz w:val="28"/>
          <w:szCs w:val="24"/>
          <w:lang w:eastAsia="ru-RU"/>
        </w:rPr>
        <w:t>о заключении брака - 12 696;</w:t>
      </w:r>
    </w:p>
    <w:p w:rsidR="001A6754" w:rsidRPr="00061CC8" w:rsidRDefault="001A6754" w:rsidP="001A6754">
      <w:pPr>
        <w:numPr>
          <w:ilvl w:val="0"/>
          <w:numId w:val="1"/>
        </w:numPr>
        <w:autoSpaceDE w:val="0"/>
        <w:autoSpaceDN w:val="0"/>
        <w:adjustRightInd w:val="0"/>
        <w:jc w:val="left"/>
        <w:rPr>
          <w:rFonts w:ascii="PT Astra Serif" w:eastAsia="Times New Roman" w:hAnsi="PT Astra Serif" w:cs="Calibri"/>
          <w:color w:val="000000"/>
          <w:sz w:val="28"/>
          <w:szCs w:val="24"/>
          <w:lang w:eastAsia="ru-RU"/>
        </w:rPr>
      </w:pPr>
      <w:r w:rsidRPr="00061CC8">
        <w:rPr>
          <w:rFonts w:ascii="PT Astra Serif" w:eastAsia="Times New Roman" w:hAnsi="PT Astra Serif" w:cs="Times New Roman"/>
          <w:color w:val="000000"/>
          <w:sz w:val="28"/>
          <w:szCs w:val="24"/>
          <w:lang w:eastAsia="ru-RU"/>
        </w:rPr>
        <w:t>о расторжении брака - 10 304;</w:t>
      </w:r>
    </w:p>
    <w:p w:rsidR="001A6754" w:rsidRPr="00061CC8" w:rsidRDefault="001A6754" w:rsidP="001A6754">
      <w:pPr>
        <w:numPr>
          <w:ilvl w:val="0"/>
          <w:numId w:val="1"/>
        </w:numPr>
        <w:autoSpaceDE w:val="0"/>
        <w:autoSpaceDN w:val="0"/>
        <w:adjustRightInd w:val="0"/>
        <w:jc w:val="left"/>
        <w:rPr>
          <w:rFonts w:ascii="PT Astra Serif" w:eastAsia="Times New Roman" w:hAnsi="PT Astra Serif" w:cs="Calibri"/>
          <w:color w:val="000000"/>
          <w:sz w:val="28"/>
          <w:szCs w:val="24"/>
          <w:lang w:eastAsia="ru-RU"/>
        </w:rPr>
      </w:pPr>
      <w:r w:rsidRPr="00061CC8">
        <w:rPr>
          <w:rFonts w:ascii="PT Astra Serif" w:eastAsia="Times New Roman" w:hAnsi="PT Astra Serif" w:cs="Times New Roman"/>
          <w:color w:val="000000"/>
          <w:sz w:val="28"/>
          <w:szCs w:val="24"/>
          <w:lang w:eastAsia="ru-RU"/>
        </w:rPr>
        <w:t>об установлении отцовства - 3 152;</w:t>
      </w:r>
    </w:p>
    <w:p w:rsidR="001A6754" w:rsidRPr="00061CC8" w:rsidRDefault="001A6754" w:rsidP="001A6754">
      <w:pPr>
        <w:numPr>
          <w:ilvl w:val="0"/>
          <w:numId w:val="1"/>
        </w:numPr>
        <w:autoSpaceDE w:val="0"/>
        <w:autoSpaceDN w:val="0"/>
        <w:adjustRightInd w:val="0"/>
        <w:jc w:val="left"/>
        <w:rPr>
          <w:rFonts w:ascii="PT Astra Serif" w:eastAsia="Times New Roman" w:hAnsi="PT Astra Serif" w:cs="Calibri"/>
          <w:color w:val="000000"/>
          <w:sz w:val="28"/>
          <w:szCs w:val="24"/>
          <w:lang w:eastAsia="ru-RU"/>
        </w:rPr>
      </w:pPr>
      <w:r w:rsidRPr="00061CC8">
        <w:rPr>
          <w:rFonts w:ascii="PT Astra Serif" w:eastAsia="Times New Roman" w:hAnsi="PT Astra Serif" w:cs="Times New Roman"/>
          <w:color w:val="000000"/>
          <w:sz w:val="28"/>
          <w:szCs w:val="24"/>
          <w:lang w:eastAsia="ru-RU"/>
        </w:rPr>
        <w:t>об усыновлении (удочерении) – 145;</w:t>
      </w:r>
    </w:p>
    <w:p w:rsidR="001A6754" w:rsidRPr="00061CC8" w:rsidRDefault="001A6754" w:rsidP="001A6754">
      <w:pPr>
        <w:numPr>
          <w:ilvl w:val="0"/>
          <w:numId w:val="1"/>
        </w:numPr>
        <w:autoSpaceDE w:val="0"/>
        <w:autoSpaceDN w:val="0"/>
        <w:adjustRightInd w:val="0"/>
        <w:jc w:val="left"/>
        <w:rPr>
          <w:rFonts w:ascii="PT Astra Serif" w:eastAsia="Times New Roman" w:hAnsi="PT Astra Serif" w:cs="Calibri"/>
          <w:color w:val="000000"/>
          <w:sz w:val="28"/>
          <w:szCs w:val="24"/>
          <w:lang w:eastAsia="ru-RU"/>
        </w:rPr>
      </w:pPr>
      <w:r w:rsidRPr="00061CC8">
        <w:rPr>
          <w:rFonts w:ascii="PT Astra Serif" w:eastAsia="Times New Roman" w:hAnsi="PT Astra Serif" w:cs="Times New Roman"/>
          <w:color w:val="000000"/>
          <w:sz w:val="28"/>
          <w:szCs w:val="24"/>
          <w:lang w:eastAsia="ru-RU"/>
        </w:rPr>
        <w:t>о перемене имени – 1362.</w:t>
      </w:r>
    </w:p>
    <w:p w:rsidR="001A6754" w:rsidRPr="00061CC8" w:rsidRDefault="001A6754" w:rsidP="001A6754">
      <w:pPr>
        <w:autoSpaceDE w:val="0"/>
        <w:autoSpaceDN w:val="0"/>
        <w:adjustRightInd w:val="0"/>
        <w:ind w:firstLine="420"/>
        <w:jc w:val="left"/>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 xml:space="preserve">Совершены иные юридически значимые действия (выдача повторных свидетельств, архивных справок, проставлено </w:t>
      </w:r>
      <w:proofErr w:type="spellStart"/>
      <w:r w:rsidRPr="00061CC8">
        <w:rPr>
          <w:rFonts w:ascii="PT Astra Serif" w:eastAsia="Times New Roman" w:hAnsi="PT Astra Serif" w:cs="Times New Roman"/>
          <w:color w:val="000000"/>
          <w:sz w:val="28"/>
          <w:szCs w:val="24"/>
          <w:lang w:eastAsia="ru-RU"/>
        </w:rPr>
        <w:t>апостилей</w:t>
      </w:r>
      <w:proofErr w:type="spellEnd"/>
      <w:r w:rsidRPr="00061CC8">
        <w:rPr>
          <w:rFonts w:ascii="PT Astra Serif" w:eastAsia="Times New Roman" w:hAnsi="PT Astra Serif" w:cs="Times New Roman"/>
          <w:color w:val="000000"/>
          <w:sz w:val="28"/>
          <w:szCs w:val="24"/>
          <w:lang w:eastAsia="ru-RU"/>
        </w:rPr>
        <w:t xml:space="preserve"> и т. д.) - 116 727</w:t>
      </w:r>
    </w:p>
    <w:p w:rsidR="001A6754" w:rsidRPr="00061CC8" w:rsidRDefault="001A6754" w:rsidP="001A6754">
      <w:pPr>
        <w:autoSpaceDE w:val="0"/>
        <w:autoSpaceDN w:val="0"/>
        <w:adjustRightInd w:val="0"/>
        <w:ind w:firstLine="700"/>
        <w:jc w:val="both"/>
        <w:rPr>
          <w:rFonts w:ascii="PT Astra Serif" w:eastAsia="Times New Roman" w:hAnsi="PT Astra Serif" w:cs="Times New Roman"/>
          <w:color w:val="000000"/>
          <w:sz w:val="28"/>
          <w:szCs w:val="24"/>
          <w:lang w:eastAsia="ru-RU"/>
        </w:rPr>
      </w:pPr>
      <w:r w:rsidRPr="00061CC8">
        <w:rPr>
          <w:rFonts w:ascii="PT Astra Serif" w:eastAsia="Times New Roman" w:hAnsi="PT Astra Serif" w:cs="Times New Roman"/>
          <w:color w:val="000000"/>
          <w:sz w:val="28"/>
          <w:szCs w:val="24"/>
          <w:lang w:eastAsia="ru-RU"/>
        </w:rPr>
        <w:t xml:space="preserve">Управление </w:t>
      </w:r>
      <w:proofErr w:type="gramStart"/>
      <w:r w:rsidRPr="00061CC8">
        <w:rPr>
          <w:rFonts w:ascii="PT Astra Serif" w:eastAsia="Times New Roman" w:hAnsi="PT Astra Serif" w:cs="Times New Roman"/>
          <w:color w:val="000000"/>
          <w:sz w:val="28"/>
          <w:szCs w:val="24"/>
          <w:lang w:eastAsia="ru-RU"/>
        </w:rPr>
        <w:t>владеет и пользуется</w:t>
      </w:r>
      <w:proofErr w:type="gramEnd"/>
      <w:r w:rsidRPr="00061CC8">
        <w:rPr>
          <w:rFonts w:ascii="PT Astra Serif" w:eastAsia="Times New Roman" w:hAnsi="PT Astra Serif" w:cs="Times New Roman"/>
          <w:color w:val="000000"/>
          <w:sz w:val="28"/>
          <w:szCs w:val="24"/>
          <w:lang w:eastAsia="ru-RU"/>
        </w:rPr>
        <w:t xml:space="preserve"> имуществом, которое закреплено за ним на праве оперативного управления, а так же земельный участок,  закрепленный на праве постоянного (бессрочного) пользования.</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Собственником имущества является субъект Российской федерации - Саратовская область.</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Подведомственных подразделений и филиалов у Управления нет.</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Финансирование управления осуществляется за счет единой субвенции из федерального бюджета. В соответствии с Федеральным законом от 15 ноября 1997 года №143-ФЗ «Об актах гражданского состояния» финансирование управления по делам ЗАГС Правительства Саратовской области осуществляется в виде субвенции федерального бюджета, предоставляемых субъекту Российской Федерации на выполнение государственных полномочий по регистрации актов гражданского состояния.</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 xml:space="preserve">Управление является органом исполнительной власти, имеет структурные подразделения: отделы, территориальные отделы ЗАГС, специализированные отделы. Штатная численность управления 252 единицы, в том числе должностей государственной гражданской службы -164, обслуживающего персонала -59, технические должности - 29. На отчетную дату вакансии 9 единиц, в том числе должностей государственной гражданской службы -6, </w:t>
      </w:r>
      <w:proofErr w:type="gramStart"/>
      <w:r w:rsidRPr="00061CC8">
        <w:rPr>
          <w:rFonts w:ascii="PT Astra Serif" w:eastAsia="Times New Roman" w:hAnsi="PT Astra Serif" w:cs="Times New Roman"/>
          <w:color w:val="000000"/>
          <w:sz w:val="28"/>
          <w:szCs w:val="24"/>
          <w:lang w:eastAsia="ru-RU"/>
        </w:rPr>
        <w:t>обслуживающего</w:t>
      </w:r>
      <w:proofErr w:type="gramEnd"/>
      <w:r w:rsidRPr="00061CC8">
        <w:rPr>
          <w:rFonts w:ascii="PT Astra Serif" w:eastAsia="Times New Roman" w:hAnsi="PT Astra Serif" w:cs="Times New Roman"/>
          <w:color w:val="000000"/>
          <w:sz w:val="28"/>
          <w:szCs w:val="24"/>
          <w:lang w:eastAsia="ru-RU"/>
        </w:rPr>
        <w:t xml:space="preserve"> технические должности -3.</w:t>
      </w:r>
    </w:p>
    <w:p w:rsidR="001A6754" w:rsidRPr="00061CC8" w:rsidRDefault="001A6754" w:rsidP="001A6754">
      <w:pPr>
        <w:autoSpaceDE w:val="0"/>
        <w:autoSpaceDN w:val="0"/>
        <w:adjustRightInd w:val="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lastRenderedPageBreak/>
        <w:t xml:space="preserve">       В 2021 году управлению поступила субвенция на выполнение полномочий по государственной регистрации актов гражданского состояния в сумме 126 006 700 рублей, из областного бюджета 12 835 400,00 рублей, объем выделенный на закупки 15 892 722,22 рублей. Кассовый </w:t>
      </w:r>
      <w:proofErr w:type="gramStart"/>
      <w:r w:rsidRPr="00061CC8">
        <w:rPr>
          <w:rFonts w:ascii="PT Astra Serif" w:eastAsia="Times New Roman" w:hAnsi="PT Astra Serif" w:cs="Times New Roman"/>
          <w:color w:val="000000"/>
          <w:sz w:val="28"/>
          <w:szCs w:val="24"/>
          <w:lang w:eastAsia="ru-RU"/>
        </w:rPr>
        <w:t>расход</w:t>
      </w:r>
      <w:proofErr w:type="gramEnd"/>
      <w:r w:rsidRPr="00061CC8">
        <w:rPr>
          <w:rFonts w:ascii="PT Astra Serif" w:eastAsia="Times New Roman" w:hAnsi="PT Astra Serif" w:cs="Times New Roman"/>
          <w:color w:val="000000"/>
          <w:sz w:val="28"/>
          <w:szCs w:val="24"/>
          <w:lang w:eastAsia="ru-RU"/>
        </w:rPr>
        <w:t xml:space="preserve"> направленный на закупку товаров, работ и услуг составил 15 601 430,11 рублей. Неиспользованный остаток денежных сре</w:t>
      </w:r>
      <w:proofErr w:type="gramStart"/>
      <w:r w:rsidRPr="00061CC8">
        <w:rPr>
          <w:rFonts w:ascii="PT Astra Serif" w:eastAsia="Times New Roman" w:hAnsi="PT Astra Serif" w:cs="Times New Roman"/>
          <w:color w:val="000000"/>
          <w:sz w:val="28"/>
          <w:szCs w:val="24"/>
          <w:lang w:eastAsia="ru-RU"/>
        </w:rPr>
        <w:t>дств в с</w:t>
      </w:r>
      <w:proofErr w:type="gramEnd"/>
      <w:r w:rsidRPr="00061CC8">
        <w:rPr>
          <w:rFonts w:ascii="PT Astra Serif" w:eastAsia="Times New Roman" w:hAnsi="PT Astra Serif" w:cs="Times New Roman"/>
          <w:color w:val="000000"/>
          <w:sz w:val="28"/>
          <w:szCs w:val="24"/>
          <w:lang w:eastAsia="ru-RU"/>
        </w:rPr>
        <w:t>умме 291 292,11 рублей,  сложился в результате проведения конкурсных процедур.</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Стоимость имущества по состоянию на 1 января 2022 года составляет 125 594 580,67 рублей, амортизация - 115 285 246,22 рублей. Техническое состояние (износ) составляет 91,8%.</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Управление и отделы оснащены основными средствами, необходимыми для выполнения полномочий. Здания оснащены охранной, автоматической пожарной сигнализацией, и системами оповещения о пожаре.</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В целях обеспечения эффективности использования основных фондов в течени</w:t>
      </w:r>
      <w:proofErr w:type="gramStart"/>
      <w:r w:rsidRPr="00061CC8">
        <w:rPr>
          <w:rFonts w:ascii="PT Astra Serif" w:eastAsia="Times New Roman" w:hAnsi="PT Astra Serif" w:cs="Times New Roman"/>
          <w:color w:val="000000"/>
          <w:sz w:val="28"/>
          <w:szCs w:val="24"/>
          <w:lang w:eastAsia="ru-RU"/>
        </w:rPr>
        <w:t>и</w:t>
      </w:r>
      <w:proofErr w:type="gramEnd"/>
      <w:r w:rsidRPr="00061CC8">
        <w:rPr>
          <w:rFonts w:ascii="PT Astra Serif" w:eastAsia="Times New Roman" w:hAnsi="PT Astra Serif" w:cs="Times New Roman"/>
          <w:color w:val="000000"/>
          <w:sz w:val="28"/>
          <w:szCs w:val="24"/>
          <w:lang w:eastAsia="ru-RU"/>
        </w:rPr>
        <w:t xml:space="preserve"> отчетного периода произведено их обновление на сумму 600 470,00 рублей. поступление оприходовано вовремя, в полном объеме.</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Материальные запасы в 2021 году приобретены на сумму 3 977 252,77 рублей.</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На балансе управления учтены права пользования нежилыми помещениями по состоянию на 1 января 2022 года в сумме 6 307 432,08 рублей, в т.ч. договора безвозмездного пользования недвижимого имущества на сумму 1 351 858,78 рублей.</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Для улучшения состояния объектов основных сре</w:t>
      </w:r>
      <w:proofErr w:type="gramStart"/>
      <w:r w:rsidRPr="00061CC8">
        <w:rPr>
          <w:rFonts w:ascii="PT Astra Serif" w:eastAsia="Times New Roman" w:hAnsi="PT Astra Serif" w:cs="Times New Roman"/>
          <w:color w:val="000000"/>
          <w:sz w:val="28"/>
          <w:szCs w:val="24"/>
          <w:lang w:eastAsia="ru-RU"/>
        </w:rPr>
        <w:t>дств пр</w:t>
      </w:r>
      <w:proofErr w:type="gramEnd"/>
      <w:r w:rsidRPr="00061CC8">
        <w:rPr>
          <w:rFonts w:ascii="PT Astra Serif" w:eastAsia="Times New Roman" w:hAnsi="PT Astra Serif" w:cs="Times New Roman"/>
          <w:color w:val="000000"/>
          <w:sz w:val="28"/>
          <w:szCs w:val="24"/>
          <w:lang w:eastAsia="ru-RU"/>
        </w:rPr>
        <w:t>оводится их текущий ремонт, замена отдельных комплектующих, техническое обслуживание объектов. Своевременно проводилось обслуживание автоматических противопожарных систем, охранной сигнализации и других инженерных систем.</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Сохранность имущества обеспечивается посредством их закрепления за материально-ответственными лицами и своевременным проведением инвентаризации имущества. </w:t>
      </w:r>
    </w:p>
    <w:p w:rsidR="001A6754" w:rsidRPr="00061CC8" w:rsidRDefault="001A6754" w:rsidP="001A6754">
      <w:pPr>
        <w:autoSpaceDE w:val="0"/>
        <w:autoSpaceDN w:val="0"/>
        <w:adjustRightInd w:val="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Форма 0503164 "Отчет об исполнении бюджета". На осуществление полномочий по регистрации актов гражданского состояния в 2021 году из федерального бюджета поступило 126 006 700,00 рублей, из областного бюджета 12 835 400,00 рублей, кассовый расход составил 138 550 807,89 рублей</w:t>
      </w:r>
      <w:proofErr w:type="gramStart"/>
      <w:r w:rsidRPr="00061CC8">
        <w:rPr>
          <w:rFonts w:ascii="PT Astra Serif" w:eastAsia="Times New Roman" w:hAnsi="PT Astra Serif" w:cs="Times New Roman"/>
          <w:color w:val="000000"/>
          <w:sz w:val="28"/>
          <w:szCs w:val="24"/>
          <w:lang w:eastAsia="ru-RU"/>
        </w:rPr>
        <w:t>.</w:t>
      </w:r>
      <w:proofErr w:type="gramEnd"/>
      <w:r w:rsidRPr="00061CC8">
        <w:rPr>
          <w:rFonts w:ascii="PT Astra Serif" w:eastAsia="Times New Roman" w:hAnsi="PT Astra Serif" w:cs="Times New Roman"/>
          <w:color w:val="000000"/>
          <w:sz w:val="28"/>
          <w:szCs w:val="24"/>
          <w:lang w:eastAsia="ru-RU"/>
        </w:rPr>
        <w:t xml:space="preserve"> </w:t>
      </w:r>
      <w:proofErr w:type="gramStart"/>
      <w:r w:rsidRPr="00061CC8">
        <w:rPr>
          <w:rFonts w:ascii="PT Astra Serif" w:eastAsia="Times New Roman" w:hAnsi="PT Astra Serif" w:cs="Times New Roman"/>
          <w:color w:val="000000"/>
          <w:sz w:val="28"/>
          <w:szCs w:val="24"/>
          <w:lang w:eastAsia="ru-RU"/>
        </w:rPr>
        <w:t>п</w:t>
      </w:r>
      <w:proofErr w:type="gramEnd"/>
      <w:r w:rsidRPr="00061CC8">
        <w:rPr>
          <w:rFonts w:ascii="PT Astra Serif" w:eastAsia="Times New Roman" w:hAnsi="PT Astra Serif" w:cs="Times New Roman"/>
          <w:color w:val="000000"/>
          <w:sz w:val="28"/>
          <w:szCs w:val="24"/>
          <w:lang w:eastAsia="ru-RU"/>
        </w:rPr>
        <w:t xml:space="preserve">роцент исполнения составил 99,79%. </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 xml:space="preserve">Дебиторская задолженность на 1.01.2022 года уменьшилась по сравнению с прошлым годом на 35,2 %. </w:t>
      </w:r>
    </w:p>
    <w:p w:rsidR="001A6754" w:rsidRPr="00061CC8" w:rsidRDefault="001A6754" w:rsidP="001A6754">
      <w:pPr>
        <w:autoSpaceDE w:val="0"/>
        <w:autoSpaceDN w:val="0"/>
        <w:adjustRightInd w:val="0"/>
        <w:ind w:firstLine="700"/>
        <w:jc w:val="left"/>
        <w:rPr>
          <w:rFonts w:ascii="PT Astra Serif" w:eastAsia="Times New Roman" w:hAnsi="PT Astra Serif" w:cs="Calibri"/>
          <w:sz w:val="24"/>
          <w:szCs w:val="24"/>
          <w:lang w:eastAsia="ru-RU"/>
        </w:rPr>
      </w:pPr>
      <w:proofErr w:type="gramStart"/>
      <w:r w:rsidRPr="00061CC8">
        <w:rPr>
          <w:rFonts w:ascii="PT Astra Serif" w:eastAsia="Times New Roman" w:hAnsi="PT Astra Serif" w:cs="Times New Roman"/>
          <w:color w:val="000000"/>
          <w:sz w:val="28"/>
          <w:szCs w:val="24"/>
          <w:lang w:eastAsia="ru-RU"/>
        </w:rPr>
        <w:t>Дебиторская задолженность по бюджетной деятельности по состоянию на 01.01.2022 года сложилась в сумме 111 090,95 рублей, в том числе:</w:t>
      </w:r>
      <w:proofErr w:type="gramEnd"/>
    </w:p>
    <w:p w:rsidR="001A6754" w:rsidRPr="00061CC8" w:rsidRDefault="001A6754" w:rsidP="001A6754">
      <w:pPr>
        <w:autoSpaceDE w:val="0"/>
        <w:autoSpaceDN w:val="0"/>
        <w:adjustRightInd w:val="0"/>
        <w:ind w:firstLine="700"/>
        <w:jc w:val="left"/>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по счету 206 21  - в сумме 6 982,29,00 рублей, за услуги связи "</w:t>
      </w:r>
      <w:proofErr w:type="spellStart"/>
      <w:r w:rsidRPr="00061CC8">
        <w:rPr>
          <w:rFonts w:ascii="PT Astra Serif" w:eastAsia="Times New Roman" w:hAnsi="PT Astra Serif" w:cs="Times New Roman"/>
          <w:color w:val="000000"/>
          <w:sz w:val="28"/>
          <w:szCs w:val="24"/>
          <w:lang w:eastAsia="ru-RU"/>
        </w:rPr>
        <w:t>Ростелеком</w:t>
      </w:r>
      <w:proofErr w:type="spellEnd"/>
      <w:r w:rsidRPr="00061CC8">
        <w:rPr>
          <w:rFonts w:ascii="PT Astra Serif" w:eastAsia="Times New Roman" w:hAnsi="PT Astra Serif" w:cs="Times New Roman"/>
          <w:color w:val="000000"/>
          <w:sz w:val="28"/>
          <w:szCs w:val="24"/>
          <w:lang w:eastAsia="ru-RU"/>
        </w:rPr>
        <w:t>";</w:t>
      </w:r>
    </w:p>
    <w:p w:rsidR="001A6754" w:rsidRPr="00061CC8" w:rsidRDefault="001A6754" w:rsidP="001A6754">
      <w:pPr>
        <w:autoSpaceDE w:val="0"/>
        <w:autoSpaceDN w:val="0"/>
        <w:adjustRightInd w:val="0"/>
        <w:ind w:firstLine="700"/>
        <w:jc w:val="left"/>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lastRenderedPageBreak/>
        <w:t>по счету 206 23 - в сумме 98 301,78 рублей, в т. ч. ПАО "</w:t>
      </w:r>
      <w:proofErr w:type="spellStart"/>
      <w:r w:rsidRPr="00061CC8">
        <w:rPr>
          <w:rFonts w:ascii="PT Astra Serif" w:eastAsia="Times New Roman" w:hAnsi="PT Astra Serif" w:cs="Times New Roman"/>
          <w:color w:val="000000"/>
          <w:sz w:val="28"/>
          <w:szCs w:val="24"/>
          <w:lang w:eastAsia="ru-RU"/>
        </w:rPr>
        <w:t>Саратовэнерго</w:t>
      </w:r>
      <w:proofErr w:type="spellEnd"/>
      <w:r w:rsidRPr="00061CC8">
        <w:rPr>
          <w:rFonts w:ascii="PT Astra Serif" w:eastAsia="Times New Roman" w:hAnsi="PT Astra Serif" w:cs="Times New Roman"/>
          <w:color w:val="000000"/>
          <w:sz w:val="28"/>
          <w:szCs w:val="24"/>
          <w:lang w:eastAsia="ru-RU"/>
        </w:rPr>
        <w:t xml:space="preserve">" 39 517,83 рублей, за услуги потребления электроэнергии,  "Т Плюс" 58 783,95 рублей оплата </w:t>
      </w:r>
      <w:proofErr w:type="spellStart"/>
      <w:r w:rsidRPr="00061CC8">
        <w:rPr>
          <w:rFonts w:ascii="PT Astra Serif" w:eastAsia="Times New Roman" w:hAnsi="PT Astra Serif" w:cs="Times New Roman"/>
          <w:color w:val="000000"/>
          <w:sz w:val="28"/>
          <w:szCs w:val="24"/>
          <w:lang w:eastAsia="ru-RU"/>
        </w:rPr>
        <w:t>теплоэнергии</w:t>
      </w:r>
      <w:proofErr w:type="spellEnd"/>
      <w:r w:rsidRPr="00061CC8">
        <w:rPr>
          <w:rFonts w:ascii="PT Astra Serif" w:eastAsia="Times New Roman" w:hAnsi="PT Astra Serif" w:cs="Times New Roman"/>
          <w:color w:val="000000"/>
          <w:sz w:val="28"/>
          <w:szCs w:val="24"/>
          <w:lang w:eastAsia="ru-RU"/>
        </w:rPr>
        <w:t xml:space="preserve"> по отделам ЗАГС;</w:t>
      </w:r>
    </w:p>
    <w:p w:rsidR="001A6754" w:rsidRPr="00061CC8" w:rsidRDefault="001A6754" w:rsidP="001A6754">
      <w:pPr>
        <w:autoSpaceDE w:val="0"/>
        <w:autoSpaceDN w:val="0"/>
        <w:adjustRightInd w:val="0"/>
        <w:ind w:firstLine="700"/>
        <w:jc w:val="left"/>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по счету 303 05 - 1 707,74 рублей плата за негативное воздействие на окружающую среду;</w:t>
      </w:r>
    </w:p>
    <w:p w:rsidR="001A6754" w:rsidRPr="00061CC8" w:rsidRDefault="001A6754" w:rsidP="001A6754">
      <w:pPr>
        <w:autoSpaceDE w:val="0"/>
        <w:autoSpaceDN w:val="0"/>
        <w:adjustRightInd w:val="0"/>
        <w:ind w:firstLine="700"/>
        <w:jc w:val="left"/>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по счету 303 06 - 3 598,02 рублей расчеты по страховым взносам на обязательное страхование по несчастным случаям;</w:t>
      </w:r>
    </w:p>
    <w:p w:rsidR="001A6754" w:rsidRPr="00061CC8" w:rsidRDefault="001A6754" w:rsidP="001A6754">
      <w:pPr>
        <w:autoSpaceDE w:val="0"/>
        <w:autoSpaceDN w:val="0"/>
        <w:adjustRightInd w:val="0"/>
        <w:jc w:val="left"/>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  по счету 303 10 - 0,12 рублей расчету по страховым взносам на обязательное пенсионное страхование на выплату страховой части трудовой пенсии;</w:t>
      </w:r>
    </w:p>
    <w:p w:rsidR="001A6754" w:rsidRPr="00061CC8" w:rsidRDefault="001A6754" w:rsidP="001A6754">
      <w:pPr>
        <w:autoSpaceDE w:val="0"/>
        <w:autoSpaceDN w:val="0"/>
        <w:adjustRightInd w:val="0"/>
        <w:ind w:firstLine="700"/>
        <w:jc w:val="left"/>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 xml:space="preserve">по счету 303 12 - 501,00 рублей плата по налогу на имущество организаций; </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Кредиторская задолженность на 1.01.2022 год уменьшилась на 2,41%. Уменьшение произошло в связи с оплатой арендной платы.</w:t>
      </w:r>
    </w:p>
    <w:p w:rsidR="001A6754" w:rsidRPr="00061CC8" w:rsidRDefault="001A6754" w:rsidP="001A6754">
      <w:pPr>
        <w:autoSpaceDE w:val="0"/>
        <w:autoSpaceDN w:val="0"/>
        <w:adjustRightInd w:val="0"/>
        <w:jc w:val="left"/>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 xml:space="preserve">Кредиторская задолженность сложилась в сумме 3 669 998,58 рублей, в том числе; </w:t>
      </w:r>
    </w:p>
    <w:p w:rsidR="001A6754" w:rsidRPr="00061CC8" w:rsidRDefault="001A6754" w:rsidP="001A6754">
      <w:pPr>
        <w:autoSpaceDE w:val="0"/>
        <w:autoSpaceDN w:val="0"/>
        <w:adjustRightInd w:val="0"/>
        <w:ind w:firstLine="720"/>
        <w:jc w:val="left"/>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 xml:space="preserve">по счету 1 205 81 000 - 1 707,74 рубля, невыясненные поступления, возврат </w:t>
      </w:r>
      <w:proofErr w:type="spellStart"/>
      <w:r w:rsidRPr="00061CC8">
        <w:rPr>
          <w:rFonts w:ascii="PT Astra Serif" w:eastAsia="Times New Roman" w:hAnsi="PT Astra Serif" w:cs="Times New Roman"/>
          <w:color w:val="000000"/>
          <w:sz w:val="28"/>
          <w:szCs w:val="24"/>
          <w:lang w:eastAsia="ru-RU"/>
        </w:rPr>
        <w:t>узлишне</w:t>
      </w:r>
      <w:proofErr w:type="spellEnd"/>
      <w:r w:rsidRPr="00061CC8">
        <w:rPr>
          <w:rFonts w:ascii="PT Astra Serif" w:eastAsia="Times New Roman" w:hAnsi="PT Astra Serif" w:cs="Times New Roman"/>
          <w:color w:val="000000"/>
          <w:sz w:val="28"/>
          <w:szCs w:val="24"/>
          <w:lang w:eastAsia="ru-RU"/>
        </w:rPr>
        <w:t xml:space="preserve"> </w:t>
      </w:r>
      <w:proofErr w:type="spellStart"/>
      <w:r w:rsidRPr="00061CC8">
        <w:rPr>
          <w:rFonts w:ascii="PT Astra Serif" w:eastAsia="Times New Roman" w:hAnsi="PT Astra Serif" w:cs="Times New Roman"/>
          <w:color w:val="000000"/>
          <w:sz w:val="28"/>
          <w:szCs w:val="24"/>
          <w:lang w:eastAsia="ru-RU"/>
        </w:rPr>
        <w:t>уплаченоой</w:t>
      </w:r>
      <w:proofErr w:type="spellEnd"/>
      <w:r w:rsidRPr="00061CC8">
        <w:rPr>
          <w:rFonts w:ascii="PT Astra Serif" w:eastAsia="Times New Roman" w:hAnsi="PT Astra Serif" w:cs="Times New Roman"/>
          <w:color w:val="000000"/>
          <w:sz w:val="28"/>
          <w:szCs w:val="24"/>
          <w:lang w:eastAsia="ru-RU"/>
        </w:rPr>
        <w:t xml:space="preserve"> суммы за негативное воздействие на окружающую среду, требующие уточнения,</w:t>
      </w:r>
    </w:p>
    <w:p w:rsidR="001A6754" w:rsidRPr="00061CC8" w:rsidRDefault="001A6754" w:rsidP="001A6754">
      <w:pPr>
        <w:autoSpaceDE w:val="0"/>
        <w:autoSpaceDN w:val="0"/>
        <w:adjustRightInd w:val="0"/>
        <w:ind w:firstLine="700"/>
        <w:jc w:val="left"/>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1 302 23 000 - 17 740,66 рублей, ООО "СПГЭС" задолженность за потребление электроэнергии,</w:t>
      </w:r>
    </w:p>
    <w:p w:rsidR="001A6754" w:rsidRPr="00061CC8" w:rsidRDefault="001A6754" w:rsidP="001A6754">
      <w:pPr>
        <w:autoSpaceDE w:val="0"/>
        <w:autoSpaceDN w:val="0"/>
        <w:adjustRightInd w:val="0"/>
        <w:ind w:firstLine="700"/>
        <w:jc w:val="both"/>
        <w:rPr>
          <w:rFonts w:ascii="PT Astra Serif" w:eastAsia="Times New Roman" w:hAnsi="PT Astra Serif" w:cs="Times New Roman"/>
          <w:color w:val="000000"/>
          <w:sz w:val="28"/>
          <w:szCs w:val="24"/>
          <w:lang w:eastAsia="ru-RU"/>
        </w:rPr>
      </w:pPr>
      <w:r w:rsidRPr="00061CC8">
        <w:rPr>
          <w:rFonts w:ascii="PT Astra Serif" w:eastAsia="Times New Roman" w:hAnsi="PT Astra Serif" w:cs="Times New Roman"/>
          <w:color w:val="000000"/>
          <w:sz w:val="28"/>
          <w:szCs w:val="24"/>
          <w:lang w:eastAsia="ru-RU"/>
        </w:rPr>
        <w:t>1 302 24 000- 3 652 257,92 рублей</w:t>
      </w:r>
      <w:proofErr w:type="gramStart"/>
      <w:r w:rsidRPr="00061CC8">
        <w:rPr>
          <w:rFonts w:ascii="PT Astra Serif" w:eastAsia="Times New Roman" w:hAnsi="PT Astra Serif" w:cs="Times New Roman"/>
          <w:color w:val="000000"/>
          <w:sz w:val="28"/>
          <w:szCs w:val="24"/>
          <w:lang w:eastAsia="ru-RU"/>
        </w:rPr>
        <w:t xml:space="preserve"> ,</w:t>
      </w:r>
      <w:proofErr w:type="gramEnd"/>
      <w:r w:rsidRPr="00061CC8">
        <w:rPr>
          <w:rFonts w:ascii="PT Astra Serif" w:eastAsia="Times New Roman" w:hAnsi="PT Astra Serif" w:cs="Times New Roman"/>
          <w:color w:val="000000"/>
          <w:sz w:val="28"/>
          <w:szCs w:val="24"/>
          <w:lang w:eastAsia="ru-RU"/>
        </w:rPr>
        <w:t xml:space="preserve"> задолженность по арендной </w:t>
      </w:r>
      <w:proofErr w:type="spellStart"/>
      <w:r w:rsidRPr="00061CC8">
        <w:rPr>
          <w:rFonts w:ascii="PT Astra Serif" w:eastAsia="Times New Roman" w:hAnsi="PT Astra Serif" w:cs="Times New Roman"/>
          <w:color w:val="000000"/>
          <w:sz w:val="28"/>
          <w:szCs w:val="24"/>
          <w:lang w:eastAsia="ru-RU"/>
        </w:rPr>
        <w:t>плаье</w:t>
      </w:r>
      <w:proofErr w:type="spellEnd"/>
      <w:r w:rsidRPr="00061CC8">
        <w:rPr>
          <w:rFonts w:ascii="PT Astra Serif" w:eastAsia="Times New Roman" w:hAnsi="PT Astra Serif" w:cs="Times New Roman"/>
          <w:color w:val="000000"/>
          <w:sz w:val="28"/>
          <w:szCs w:val="24"/>
          <w:lang w:eastAsia="ru-RU"/>
        </w:rPr>
        <w:t xml:space="preserve"> начисленной за пользование нежилыми помещениями, в том числе </w:t>
      </w:r>
      <w:proofErr w:type="spellStart"/>
      <w:r w:rsidRPr="00061CC8">
        <w:rPr>
          <w:rFonts w:ascii="PT Astra Serif" w:eastAsia="Times New Roman" w:hAnsi="PT Astra Serif" w:cs="Times New Roman"/>
          <w:color w:val="000000"/>
          <w:sz w:val="28"/>
          <w:szCs w:val="24"/>
          <w:lang w:eastAsia="ru-RU"/>
        </w:rPr>
        <w:t>долглсрочная</w:t>
      </w:r>
      <w:proofErr w:type="spellEnd"/>
      <w:r w:rsidRPr="00061CC8">
        <w:rPr>
          <w:rFonts w:ascii="PT Astra Serif" w:eastAsia="Times New Roman" w:hAnsi="PT Astra Serif" w:cs="Times New Roman"/>
          <w:color w:val="000000"/>
          <w:sz w:val="28"/>
          <w:szCs w:val="24"/>
          <w:lang w:eastAsia="ru-RU"/>
        </w:rPr>
        <w:t xml:space="preserve"> - 3 579 158,88 рублей.</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В управлении создаются резервы:</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1. Резерв на оплату отпусков. Оценочное обязательство по резерву на оплату отпусков за фактически отработанное время определяется ежемесячно на последний день месяца (п.302, 302.1 Инструкции 157н, п.11 Стандарта "Доходы"). Сумма резерва, отраженная в бухучете до отчетной даты, корректируется до величины вновь рассчитанного резерва. При расчете резерва используется Письмо Минфина РФ от 20.05.2015 № 02-07-07/28998.</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по счету 1 401 60 211 - 5 199 649,08 рублей, начислен резерв на отпуска;</w:t>
      </w:r>
    </w:p>
    <w:p w:rsidR="001A6754" w:rsidRPr="00061CC8" w:rsidRDefault="001A6754" w:rsidP="001A6754">
      <w:pPr>
        <w:autoSpaceDE w:val="0"/>
        <w:autoSpaceDN w:val="0"/>
        <w:adjustRightInd w:val="0"/>
        <w:ind w:firstLine="700"/>
        <w:jc w:val="both"/>
        <w:rPr>
          <w:rFonts w:ascii="PT Astra Serif" w:eastAsia="Times New Roman" w:hAnsi="PT Astra Serif" w:cs="Times New Roman"/>
          <w:color w:val="000000"/>
          <w:sz w:val="28"/>
          <w:szCs w:val="24"/>
          <w:lang w:eastAsia="ru-RU"/>
        </w:rPr>
      </w:pPr>
      <w:r w:rsidRPr="00061CC8">
        <w:rPr>
          <w:rFonts w:ascii="PT Astra Serif" w:eastAsia="Times New Roman" w:hAnsi="PT Astra Serif" w:cs="Times New Roman"/>
          <w:color w:val="000000"/>
          <w:sz w:val="28"/>
          <w:szCs w:val="24"/>
          <w:lang w:eastAsia="ru-RU"/>
        </w:rPr>
        <w:t>по счету 1 401 60 213 - 1 567 662,41 рублей, начисления на выплаты по резерву на отпуска.</w:t>
      </w:r>
    </w:p>
    <w:p w:rsidR="001A6754" w:rsidRPr="00061CC8" w:rsidRDefault="001A6754" w:rsidP="001A6754">
      <w:pPr>
        <w:autoSpaceDE w:val="0"/>
        <w:autoSpaceDN w:val="0"/>
        <w:adjustRightInd w:val="0"/>
        <w:ind w:firstLine="700"/>
        <w:jc w:val="both"/>
        <w:rPr>
          <w:rFonts w:ascii="PT Astra Serif" w:eastAsia="Times New Roman" w:hAnsi="PT Astra Serif" w:cs="Times New Roman"/>
          <w:color w:val="000000"/>
          <w:sz w:val="28"/>
          <w:szCs w:val="24"/>
          <w:lang w:eastAsia="ru-RU"/>
        </w:rPr>
      </w:pPr>
      <w:r w:rsidRPr="00061CC8">
        <w:rPr>
          <w:rFonts w:ascii="PT Astra Serif" w:eastAsia="Times New Roman" w:hAnsi="PT Astra Serif" w:cs="Times New Roman"/>
          <w:color w:val="000000"/>
          <w:sz w:val="28"/>
          <w:szCs w:val="24"/>
          <w:lang w:eastAsia="ru-RU"/>
        </w:rPr>
        <w:t>2. Резерв по претензионным требованиям – при необходимости. Величина резерва устанавливается в размере претензии, предъявленной Управлению в судебном иске, либо в претензионных документах судебного разбирательства.</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по счету 1 401 60 225 - 52 270,66 рубля,  начислен резерв по исполнительному листу по задолженности на взносы по капитальному ремонт</w:t>
      </w:r>
      <w:proofErr w:type="gramStart"/>
      <w:r w:rsidRPr="00061CC8">
        <w:rPr>
          <w:rFonts w:ascii="PT Astra Serif" w:eastAsia="Times New Roman" w:hAnsi="PT Astra Serif" w:cs="Times New Roman"/>
          <w:color w:val="000000"/>
          <w:sz w:val="28"/>
          <w:szCs w:val="24"/>
          <w:lang w:eastAsia="ru-RU"/>
        </w:rPr>
        <w:t>у(</w:t>
      </w:r>
      <w:proofErr w:type="gramEnd"/>
      <w:r w:rsidRPr="00061CC8">
        <w:rPr>
          <w:rFonts w:ascii="PT Astra Serif" w:eastAsia="Times New Roman" w:hAnsi="PT Astra Serif" w:cs="Times New Roman"/>
          <w:color w:val="000000"/>
          <w:sz w:val="28"/>
          <w:szCs w:val="24"/>
          <w:lang w:eastAsia="ru-RU"/>
        </w:rPr>
        <w:t>решение от 06.09.2021 года) ;</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по счету 1 401 60 223 - 8 976,58 рубля,  начислен резерв по исполнительному листу по задолженности по коммунальным услугам (решение от 30.11.2021 года);</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lastRenderedPageBreak/>
        <w:t>по счету 1 401 60 295 - 1 772,83 рублей, начислен резерв по оплате пени, по исполнительному листу (решение от 30.11.2021 г года).</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по счету 1 401 60 295 - 2 000 рублей, начислен резерв по оплате государственной пошлины, по исполнительному листу (решение от 30.11.2021 г года).</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Бюджетные обязательства (принятые, принимаемые, отложенные) принимаются к учету в пределах доведенных лимитов бюджетных обязательств (ЛБО).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061CC8">
        <w:rPr>
          <w:rFonts w:ascii="PT Astra Serif" w:eastAsia="Times New Roman" w:hAnsi="PT Astra Serif" w:cs="Times New Roman"/>
          <w:color w:val="000000"/>
          <w:sz w:val="28"/>
          <w:szCs w:val="24"/>
          <w:lang w:eastAsia="ru-RU"/>
        </w:rPr>
        <w:t>ств пр</w:t>
      </w:r>
      <w:proofErr w:type="gramEnd"/>
      <w:r w:rsidRPr="00061CC8">
        <w:rPr>
          <w:rFonts w:ascii="PT Astra Serif" w:eastAsia="Times New Roman" w:hAnsi="PT Astra Serif" w:cs="Times New Roman"/>
          <w:color w:val="000000"/>
          <w:sz w:val="28"/>
          <w:szCs w:val="24"/>
          <w:lang w:eastAsia="ru-RU"/>
        </w:rPr>
        <w:t>ошлых лет.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w:t>
      </w:r>
    </w:p>
    <w:p w:rsidR="001A6754" w:rsidRPr="00061CC8" w:rsidRDefault="001A6754" w:rsidP="001A6754">
      <w:pPr>
        <w:autoSpaceDE w:val="0"/>
        <w:autoSpaceDN w:val="0"/>
        <w:adjustRightInd w:val="0"/>
        <w:ind w:firstLine="700"/>
        <w:jc w:val="both"/>
        <w:rPr>
          <w:rFonts w:ascii="PT Astra Serif" w:eastAsia="Times New Roman" w:hAnsi="PT Astra Serif" w:cs="Calibri"/>
          <w:sz w:val="24"/>
          <w:szCs w:val="24"/>
          <w:lang w:eastAsia="ru-RU"/>
        </w:rPr>
      </w:pPr>
      <w:r w:rsidRPr="00061CC8">
        <w:rPr>
          <w:rFonts w:ascii="PT Astra Serif" w:eastAsia="Times New Roman" w:hAnsi="PT Astra Serif" w:cs="Times New Roman"/>
          <w:color w:val="000000"/>
          <w:sz w:val="28"/>
          <w:szCs w:val="24"/>
          <w:lang w:eastAsia="ru-RU"/>
        </w:rPr>
        <w:t>Инвентаризация материальных ценностей управления проведена по состоянию на 1 ноября 2021 года, на основании приказа о проведении инвентаризации от 30 октября 2020 года № 419-П. Инвентаризация проведена в полном соответствии с нормативными документами, излишек и недостач не выявлено.</w:t>
      </w:r>
    </w:p>
    <w:p w:rsidR="001A6754" w:rsidRPr="00626BE7" w:rsidRDefault="001A6754" w:rsidP="001A6754">
      <w:pPr>
        <w:autoSpaceDE w:val="0"/>
        <w:autoSpaceDN w:val="0"/>
        <w:adjustRightInd w:val="0"/>
        <w:jc w:val="left"/>
        <w:rPr>
          <w:rFonts w:ascii="Times New Roman" w:eastAsia="Times New Roman" w:hAnsi="Times New Roman" w:cs="Calibri"/>
          <w:sz w:val="24"/>
          <w:szCs w:val="24"/>
          <w:lang w:eastAsia="ru-RU"/>
        </w:rPr>
      </w:pPr>
      <w:r w:rsidRPr="00626BE7">
        <w:rPr>
          <w:rFonts w:ascii="Times New Roman" w:eastAsia="Times New Roman" w:hAnsi="Times New Roman" w:cs="Times New Roman"/>
          <w:color w:val="000000"/>
          <w:sz w:val="28"/>
          <w:szCs w:val="24"/>
          <w:lang w:eastAsia="ru-RU"/>
        </w:rPr>
        <w:t> </w:t>
      </w:r>
    </w:p>
    <w:p w:rsidR="001A6754" w:rsidRPr="00626BE7" w:rsidRDefault="001A6754" w:rsidP="001A6754">
      <w:pPr>
        <w:autoSpaceDE w:val="0"/>
        <w:autoSpaceDN w:val="0"/>
        <w:adjustRightInd w:val="0"/>
        <w:jc w:val="left"/>
        <w:rPr>
          <w:rFonts w:eastAsiaTheme="minorEastAsia" w:cs="Calibri"/>
          <w:szCs w:val="24"/>
          <w:lang w:eastAsia="ru-RU"/>
        </w:rPr>
      </w:pPr>
      <w:r w:rsidRPr="00626BE7">
        <w:rPr>
          <w:rFonts w:ascii="Times New Roman" w:eastAsia="Times New Roman" w:hAnsi="Times New Roman" w:cs="Times New Roman"/>
          <w:color w:val="000000"/>
          <w:sz w:val="28"/>
          <w:szCs w:val="24"/>
          <w:lang w:eastAsia="ru-RU"/>
        </w:rPr>
        <w:t> </w:t>
      </w:r>
    </w:p>
    <w:p w:rsidR="001A6754" w:rsidRDefault="001A6754" w:rsidP="001A6754"/>
    <w:p w:rsidR="005B64C0" w:rsidRDefault="005B64C0"/>
    <w:sectPr w:rsidR="005B64C0" w:rsidSect="00626BE7">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B28C"/>
    <w:multiLevelType w:val="hybridMultilevel"/>
    <w:tmpl w:val="FFFFFFFF"/>
    <w:lvl w:ilvl="0" w:tplc="7810AE8C">
      <w:start w:val="1"/>
      <w:numFmt w:val="bullet"/>
      <w:lvlText w:val="·"/>
      <w:lvlJc w:val="left"/>
      <w:pPr>
        <w:ind w:left="720" w:hanging="360"/>
      </w:pPr>
      <w:rPr>
        <w:rFonts w:ascii="Symbol" w:eastAsia="Times New Roman" w:hAnsi="Symbol" w:cs="Symbol"/>
      </w:rPr>
    </w:lvl>
    <w:lvl w:ilvl="1" w:tplc="4A153896">
      <w:start w:val="1"/>
      <w:numFmt w:val="bullet"/>
      <w:lvlText w:val="o"/>
      <w:lvlJc w:val="left"/>
      <w:pPr>
        <w:ind w:left="1440" w:hanging="360"/>
      </w:pPr>
      <w:rPr>
        <w:rFonts w:ascii="Symbol" w:hAnsi="Symbol"/>
      </w:rPr>
    </w:lvl>
    <w:lvl w:ilvl="2" w:tplc="432789C1">
      <w:start w:val="1"/>
      <w:numFmt w:val="bullet"/>
      <w:lvlText w:val="·"/>
      <w:lvlJc w:val="left"/>
      <w:pPr>
        <w:ind w:left="2160" w:hanging="360"/>
      </w:pPr>
      <w:rPr>
        <w:rFonts w:ascii="Symbol" w:hAnsi="Symbol"/>
      </w:rPr>
    </w:lvl>
    <w:lvl w:ilvl="3" w:tplc="49DA52BA">
      <w:start w:val="1"/>
      <w:numFmt w:val="bullet"/>
      <w:lvlText w:val="o"/>
      <w:lvlJc w:val="left"/>
      <w:pPr>
        <w:ind w:left="2880" w:hanging="360"/>
      </w:pPr>
      <w:rPr>
        <w:rFonts w:ascii="Symbol" w:hAnsi="Symbol"/>
      </w:rPr>
    </w:lvl>
    <w:lvl w:ilvl="4" w:tplc="300DE64B">
      <w:start w:val="1"/>
      <w:numFmt w:val="bullet"/>
      <w:lvlText w:val="·"/>
      <w:lvlJc w:val="left"/>
      <w:pPr>
        <w:ind w:left="3600" w:hanging="360"/>
      </w:pPr>
      <w:rPr>
        <w:rFonts w:ascii="Symbol" w:hAnsi="Symbol"/>
      </w:rPr>
    </w:lvl>
    <w:lvl w:ilvl="5" w:tplc="522A20F4">
      <w:start w:val="1"/>
      <w:numFmt w:val="bullet"/>
      <w:lvlText w:val="o"/>
      <w:lvlJc w:val="left"/>
      <w:pPr>
        <w:ind w:left="4320" w:hanging="360"/>
      </w:pPr>
      <w:rPr>
        <w:rFonts w:ascii="Symbol" w:hAnsi="Symbol"/>
      </w:rPr>
    </w:lvl>
    <w:lvl w:ilvl="6" w:tplc="061FD939">
      <w:start w:val="1"/>
      <w:numFmt w:val="bullet"/>
      <w:lvlText w:val="·"/>
      <w:lvlJc w:val="left"/>
      <w:pPr>
        <w:ind w:left="5040" w:hanging="360"/>
      </w:pPr>
      <w:rPr>
        <w:rFonts w:ascii="Symbol" w:hAnsi="Symbol"/>
      </w:rPr>
    </w:lvl>
    <w:lvl w:ilvl="7" w:tplc="1FA19765">
      <w:start w:val="1"/>
      <w:numFmt w:val="bullet"/>
      <w:lvlText w:val="o"/>
      <w:lvlJc w:val="left"/>
      <w:pPr>
        <w:ind w:left="5760" w:hanging="360"/>
      </w:pPr>
      <w:rPr>
        <w:rFonts w:ascii="Symbol" w:hAnsi="Symbol"/>
      </w:rPr>
    </w:lvl>
    <w:lvl w:ilvl="8" w:tplc="28029191">
      <w:start w:val="1"/>
      <w:numFmt w:val="bullet"/>
      <w:lvlText w:val="·"/>
      <w:lvlJc w:val="left"/>
      <w:pPr>
        <w:ind w:left="6480" w:hanging="360"/>
      </w:pPr>
      <w:rPr>
        <w:rFonts w:ascii="Symbol" w:hAnsi="Symbol"/>
      </w:rPr>
    </w:lvl>
  </w:abstractNum>
  <w:abstractNum w:abstractNumId="1">
    <w:nsid w:val="2C38E9A8"/>
    <w:multiLevelType w:val="hybridMultilevel"/>
    <w:tmpl w:val="FFFFFFFF"/>
    <w:lvl w:ilvl="0" w:tplc="6FD0EFC9">
      <w:start w:val="1"/>
      <w:numFmt w:val="bullet"/>
      <w:lvlText w:val="·"/>
      <w:lvlJc w:val="left"/>
      <w:pPr>
        <w:ind w:left="720" w:hanging="360"/>
      </w:pPr>
      <w:rPr>
        <w:rFonts w:ascii="Symbol" w:eastAsia="Times New Roman" w:hAnsi="Symbol" w:cs="Symbol"/>
      </w:rPr>
    </w:lvl>
    <w:lvl w:ilvl="1" w:tplc="799AA667">
      <w:start w:val="1"/>
      <w:numFmt w:val="bullet"/>
      <w:lvlText w:val="o"/>
      <w:lvlJc w:val="left"/>
      <w:pPr>
        <w:ind w:left="1440" w:hanging="360"/>
      </w:pPr>
      <w:rPr>
        <w:rFonts w:ascii="Symbol" w:hAnsi="Symbol"/>
      </w:rPr>
    </w:lvl>
    <w:lvl w:ilvl="2" w:tplc="4F3B395E">
      <w:start w:val="1"/>
      <w:numFmt w:val="bullet"/>
      <w:lvlText w:val="·"/>
      <w:lvlJc w:val="left"/>
      <w:pPr>
        <w:ind w:left="2160" w:hanging="360"/>
      </w:pPr>
      <w:rPr>
        <w:rFonts w:ascii="Symbol" w:hAnsi="Symbol"/>
      </w:rPr>
    </w:lvl>
    <w:lvl w:ilvl="3" w:tplc="3D0DA24F">
      <w:start w:val="1"/>
      <w:numFmt w:val="bullet"/>
      <w:lvlText w:val="o"/>
      <w:lvlJc w:val="left"/>
      <w:pPr>
        <w:ind w:left="2880" w:hanging="360"/>
      </w:pPr>
      <w:rPr>
        <w:rFonts w:ascii="Symbol" w:hAnsi="Symbol"/>
      </w:rPr>
    </w:lvl>
    <w:lvl w:ilvl="4" w:tplc="36B3034B">
      <w:start w:val="1"/>
      <w:numFmt w:val="bullet"/>
      <w:lvlText w:val="·"/>
      <w:lvlJc w:val="left"/>
      <w:pPr>
        <w:ind w:left="3600" w:hanging="360"/>
      </w:pPr>
      <w:rPr>
        <w:rFonts w:ascii="Symbol" w:hAnsi="Symbol"/>
      </w:rPr>
    </w:lvl>
    <w:lvl w:ilvl="5" w:tplc="16BB009E">
      <w:start w:val="1"/>
      <w:numFmt w:val="bullet"/>
      <w:lvlText w:val="o"/>
      <w:lvlJc w:val="left"/>
      <w:pPr>
        <w:ind w:left="4320" w:hanging="360"/>
      </w:pPr>
      <w:rPr>
        <w:rFonts w:ascii="Symbol" w:hAnsi="Symbol"/>
      </w:rPr>
    </w:lvl>
    <w:lvl w:ilvl="6" w:tplc="4629D7B1">
      <w:start w:val="1"/>
      <w:numFmt w:val="bullet"/>
      <w:lvlText w:val="·"/>
      <w:lvlJc w:val="left"/>
      <w:pPr>
        <w:ind w:left="5040" w:hanging="360"/>
      </w:pPr>
      <w:rPr>
        <w:rFonts w:ascii="Symbol" w:hAnsi="Symbol"/>
      </w:rPr>
    </w:lvl>
    <w:lvl w:ilvl="7" w:tplc="6618B723">
      <w:start w:val="1"/>
      <w:numFmt w:val="bullet"/>
      <w:lvlText w:val="o"/>
      <w:lvlJc w:val="left"/>
      <w:pPr>
        <w:ind w:left="5760" w:hanging="360"/>
      </w:pPr>
      <w:rPr>
        <w:rFonts w:ascii="Symbol" w:hAnsi="Symbol"/>
      </w:rPr>
    </w:lvl>
    <w:lvl w:ilvl="8" w:tplc="02234EFF">
      <w:start w:val="1"/>
      <w:numFmt w:val="bullet"/>
      <w:lvlText w:val="·"/>
      <w:lvlJc w:val="left"/>
      <w:pPr>
        <w:ind w:left="6480" w:hanging="360"/>
      </w:pPr>
      <w:rPr>
        <w:rFonts w:ascii="Symbol" w:hAnsi="Symbol"/>
      </w:rPr>
    </w:lvl>
  </w:abstractNum>
  <w:abstractNum w:abstractNumId="2">
    <w:nsid w:val="3AAF8550"/>
    <w:multiLevelType w:val="hybridMultilevel"/>
    <w:tmpl w:val="FFFFFFFF"/>
    <w:lvl w:ilvl="0" w:tplc="1F599A97">
      <w:start w:val="1"/>
      <w:numFmt w:val="bullet"/>
      <w:lvlText w:val="·"/>
      <w:lvlJc w:val="left"/>
      <w:pPr>
        <w:ind w:left="720" w:hanging="360"/>
      </w:pPr>
      <w:rPr>
        <w:rFonts w:ascii="Symbol" w:eastAsia="Times New Roman" w:hAnsi="Symbol" w:cs="Symbol"/>
      </w:rPr>
    </w:lvl>
    <w:lvl w:ilvl="1" w:tplc="73E72BA0">
      <w:start w:val="1"/>
      <w:numFmt w:val="bullet"/>
      <w:lvlText w:val="o"/>
      <w:lvlJc w:val="left"/>
      <w:pPr>
        <w:ind w:left="1440" w:hanging="360"/>
      </w:pPr>
      <w:rPr>
        <w:rFonts w:ascii="Symbol" w:hAnsi="Symbol"/>
      </w:rPr>
    </w:lvl>
    <w:lvl w:ilvl="2" w:tplc="260D2F55">
      <w:start w:val="1"/>
      <w:numFmt w:val="bullet"/>
      <w:lvlText w:val="·"/>
      <w:lvlJc w:val="left"/>
      <w:pPr>
        <w:ind w:left="2160" w:hanging="360"/>
      </w:pPr>
      <w:rPr>
        <w:rFonts w:ascii="Symbol" w:hAnsi="Symbol"/>
      </w:rPr>
    </w:lvl>
    <w:lvl w:ilvl="3" w:tplc="7656DF80">
      <w:start w:val="1"/>
      <w:numFmt w:val="bullet"/>
      <w:lvlText w:val="o"/>
      <w:lvlJc w:val="left"/>
      <w:pPr>
        <w:ind w:left="2880" w:hanging="360"/>
      </w:pPr>
      <w:rPr>
        <w:rFonts w:ascii="Symbol" w:hAnsi="Symbol"/>
      </w:rPr>
    </w:lvl>
    <w:lvl w:ilvl="4" w:tplc="7465E62D">
      <w:start w:val="1"/>
      <w:numFmt w:val="bullet"/>
      <w:lvlText w:val="·"/>
      <w:lvlJc w:val="left"/>
      <w:pPr>
        <w:ind w:left="3600" w:hanging="360"/>
      </w:pPr>
      <w:rPr>
        <w:rFonts w:ascii="Symbol" w:hAnsi="Symbol"/>
      </w:rPr>
    </w:lvl>
    <w:lvl w:ilvl="5" w:tplc="34161D37">
      <w:start w:val="1"/>
      <w:numFmt w:val="bullet"/>
      <w:lvlText w:val="o"/>
      <w:lvlJc w:val="left"/>
      <w:pPr>
        <w:ind w:left="4320" w:hanging="360"/>
      </w:pPr>
      <w:rPr>
        <w:rFonts w:ascii="Symbol" w:hAnsi="Symbol"/>
      </w:rPr>
    </w:lvl>
    <w:lvl w:ilvl="6" w:tplc="0D4E289A">
      <w:start w:val="1"/>
      <w:numFmt w:val="bullet"/>
      <w:lvlText w:val="·"/>
      <w:lvlJc w:val="left"/>
      <w:pPr>
        <w:ind w:left="5040" w:hanging="360"/>
      </w:pPr>
      <w:rPr>
        <w:rFonts w:ascii="Symbol" w:hAnsi="Symbol"/>
      </w:rPr>
    </w:lvl>
    <w:lvl w:ilvl="7" w:tplc="3338118F">
      <w:start w:val="1"/>
      <w:numFmt w:val="bullet"/>
      <w:lvlText w:val="o"/>
      <w:lvlJc w:val="left"/>
      <w:pPr>
        <w:ind w:left="5760" w:hanging="360"/>
      </w:pPr>
      <w:rPr>
        <w:rFonts w:ascii="Symbol" w:hAnsi="Symbol"/>
      </w:rPr>
    </w:lvl>
    <w:lvl w:ilvl="8" w:tplc="3B4ED3E7">
      <w:start w:val="1"/>
      <w:numFmt w:val="bullet"/>
      <w:lvlText w:val="·"/>
      <w:lvlJc w:val="left"/>
      <w:pPr>
        <w:ind w:left="6480" w:hanging="360"/>
      </w:pPr>
      <w:rPr>
        <w:rFonts w:ascii="Symbol" w:hAnsi="Symbol"/>
      </w:rPr>
    </w:lvl>
  </w:abstractNum>
  <w:abstractNum w:abstractNumId="3">
    <w:nsid w:val="461BF081"/>
    <w:multiLevelType w:val="hybridMultilevel"/>
    <w:tmpl w:val="FFFFFFFF"/>
    <w:lvl w:ilvl="0" w:tplc="2818AC21">
      <w:start w:val="1"/>
      <w:numFmt w:val="bullet"/>
      <w:lvlText w:val="·"/>
      <w:lvlJc w:val="left"/>
      <w:pPr>
        <w:ind w:left="720" w:hanging="360"/>
      </w:pPr>
      <w:rPr>
        <w:rFonts w:ascii="Symbol" w:eastAsia="Times New Roman" w:hAnsi="Symbol" w:cs="Symbol"/>
      </w:rPr>
    </w:lvl>
    <w:lvl w:ilvl="1" w:tplc="3B4CD2B2">
      <w:start w:val="1"/>
      <w:numFmt w:val="bullet"/>
      <w:lvlText w:val="o"/>
      <w:lvlJc w:val="left"/>
      <w:pPr>
        <w:ind w:left="1440" w:hanging="360"/>
      </w:pPr>
      <w:rPr>
        <w:rFonts w:ascii="Symbol" w:hAnsi="Symbol"/>
      </w:rPr>
    </w:lvl>
    <w:lvl w:ilvl="2" w:tplc="4E276C68">
      <w:start w:val="1"/>
      <w:numFmt w:val="bullet"/>
      <w:lvlText w:val="·"/>
      <w:lvlJc w:val="left"/>
      <w:pPr>
        <w:ind w:left="2160" w:hanging="360"/>
      </w:pPr>
      <w:rPr>
        <w:rFonts w:ascii="Symbol" w:hAnsi="Symbol"/>
      </w:rPr>
    </w:lvl>
    <w:lvl w:ilvl="3" w:tplc="6A40743E">
      <w:start w:val="1"/>
      <w:numFmt w:val="bullet"/>
      <w:lvlText w:val="o"/>
      <w:lvlJc w:val="left"/>
      <w:pPr>
        <w:ind w:left="2880" w:hanging="360"/>
      </w:pPr>
      <w:rPr>
        <w:rFonts w:ascii="Symbol" w:hAnsi="Symbol"/>
      </w:rPr>
    </w:lvl>
    <w:lvl w:ilvl="4" w:tplc="6052D442">
      <w:start w:val="1"/>
      <w:numFmt w:val="bullet"/>
      <w:lvlText w:val="·"/>
      <w:lvlJc w:val="left"/>
      <w:pPr>
        <w:ind w:left="3600" w:hanging="360"/>
      </w:pPr>
      <w:rPr>
        <w:rFonts w:ascii="Symbol" w:hAnsi="Symbol"/>
      </w:rPr>
    </w:lvl>
    <w:lvl w:ilvl="5" w:tplc="1F2FC7AE">
      <w:start w:val="1"/>
      <w:numFmt w:val="bullet"/>
      <w:lvlText w:val="o"/>
      <w:lvlJc w:val="left"/>
      <w:pPr>
        <w:ind w:left="4320" w:hanging="360"/>
      </w:pPr>
      <w:rPr>
        <w:rFonts w:ascii="Symbol" w:hAnsi="Symbol"/>
      </w:rPr>
    </w:lvl>
    <w:lvl w:ilvl="6" w:tplc="7E0CC87D">
      <w:start w:val="1"/>
      <w:numFmt w:val="bullet"/>
      <w:lvlText w:val="·"/>
      <w:lvlJc w:val="left"/>
      <w:pPr>
        <w:ind w:left="5040" w:hanging="360"/>
      </w:pPr>
      <w:rPr>
        <w:rFonts w:ascii="Symbol" w:hAnsi="Symbol"/>
      </w:rPr>
    </w:lvl>
    <w:lvl w:ilvl="7" w:tplc="7C0A24DC">
      <w:start w:val="1"/>
      <w:numFmt w:val="bullet"/>
      <w:lvlText w:val="o"/>
      <w:lvlJc w:val="left"/>
      <w:pPr>
        <w:ind w:left="5760" w:hanging="360"/>
      </w:pPr>
      <w:rPr>
        <w:rFonts w:ascii="Symbol" w:hAnsi="Symbol"/>
      </w:rPr>
    </w:lvl>
    <w:lvl w:ilvl="8" w:tplc="4A80E8F7">
      <w:start w:val="1"/>
      <w:numFmt w:val="bullet"/>
      <w:lvlText w:val="·"/>
      <w:lvlJc w:val="left"/>
      <w:pPr>
        <w:ind w:left="6480" w:hanging="360"/>
      </w:pPr>
      <w:rPr>
        <w:rFonts w:ascii="Symbol" w:hAnsi="Symbol"/>
      </w:rPr>
    </w:lvl>
  </w:abstractNum>
  <w:abstractNum w:abstractNumId="4">
    <w:nsid w:val="6FCCAE2C"/>
    <w:multiLevelType w:val="hybridMultilevel"/>
    <w:tmpl w:val="FFFFFFFF"/>
    <w:lvl w:ilvl="0" w:tplc="5CE1C000">
      <w:start w:val="1"/>
      <w:numFmt w:val="bullet"/>
      <w:lvlText w:val="·"/>
      <w:lvlJc w:val="left"/>
      <w:pPr>
        <w:ind w:left="720" w:hanging="360"/>
      </w:pPr>
      <w:rPr>
        <w:rFonts w:ascii="Symbol" w:eastAsia="Times New Roman" w:hAnsi="Symbol" w:cs="Symbol"/>
      </w:rPr>
    </w:lvl>
    <w:lvl w:ilvl="1" w:tplc="118EF889">
      <w:start w:val="1"/>
      <w:numFmt w:val="bullet"/>
      <w:lvlText w:val="o"/>
      <w:lvlJc w:val="left"/>
      <w:pPr>
        <w:ind w:left="1440" w:hanging="360"/>
      </w:pPr>
      <w:rPr>
        <w:rFonts w:ascii="Symbol" w:hAnsi="Symbol"/>
      </w:rPr>
    </w:lvl>
    <w:lvl w:ilvl="2" w:tplc="391F194B">
      <w:start w:val="1"/>
      <w:numFmt w:val="bullet"/>
      <w:lvlText w:val="·"/>
      <w:lvlJc w:val="left"/>
      <w:pPr>
        <w:ind w:left="2160" w:hanging="360"/>
      </w:pPr>
      <w:rPr>
        <w:rFonts w:ascii="Symbol" w:hAnsi="Symbol"/>
      </w:rPr>
    </w:lvl>
    <w:lvl w:ilvl="3" w:tplc="52F6A979">
      <w:start w:val="1"/>
      <w:numFmt w:val="bullet"/>
      <w:lvlText w:val="o"/>
      <w:lvlJc w:val="left"/>
      <w:pPr>
        <w:ind w:left="2880" w:hanging="360"/>
      </w:pPr>
      <w:rPr>
        <w:rFonts w:ascii="Symbol" w:hAnsi="Symbol"/>
      </w:rPr>
    </w:lvl>
    <w:lvl w:ilvl="4" w:tplc="13D38BA4">
      <w:start w:val="1"/>
      <w:numFmt w:val="bullet"/>
      <w:lvlText w:val="·"/>
      <w:lvlJc w:val="left"/>
      <w:pPr>
        <w:ind w:left="3600" w:hanging="360"/>
      </w:pPr>
      <w:rPr>
        <w:rFonts w:ascii="Symbol" w:hAnsi="Symbol"/>
      </w:rPr>
    </w:lvl>
    <w:lvl w:ilvl="5" w:tplc="69C9BB49">
      <w:start w:val="1"/>
      <w:numFmt w:val="bullet"/>
      <w:lvlText w:val="o"/>
      <w:lvlJc w:val="left"/>
      <w:pPr>
        <w:ind w:left="4320" w:hanging="360"/>
      </w:pPr>
      <w:rPr>
        <w:rFonts w:ascii="Symbol" w:hAnsi="Symbol"/>
      </w:rPr>
    </w:lvl>
    <w:lvl w:ilvl="6" w:tplc="0880A6A7">
      <w:start w:val="1"/>
      <w:numFmt w:val="bullet"/>
      <w:lvlText w:val="·"/>
      <w:lvlJc w:val="left"/>
      <w:pPr>
        <w:ind w:left="5040" w:hanging="360"/>
      </w:pPr>
      <w:rPr>
        <w:rFonts w:ascii="Symbol" w:hAnsi="Symbol"/>
      </w:rPr>
    </w:lvl>
    <w:lvl w:ilvl="7" w:tplc="7AA1E5DB">
      <w:start w:val="1"/>
      <w:numFmt w:val="bullet"/>
      <w:lvlText w:val="o"/>
      <w:lvlJc w:val="left"/>
      <w:pPr>
        <w:ind w:left="5760" w:hanging="360"/>
      </w:pPr>
      <w:rPr>
        <w:rFonts w:ascii="Symbol" w:hAnsi="Symbol"/>
      </w:rPr>
    </w:lvl>
    <w:lvl w:ilvl="8" w:tplc="3B8894D6">
      <w:start w:val="1"/>
      <w:numFmt w:val="bullet"/>
      <w:lvlText w:val="·"/>
      <w:lvlJc w:val="left"/>
      <w:pPr>
        <w:ind w:left="6480" w:hanging="360"/>
      </w:pPr>
      <w:rPr>
        <w:rFonts w:ascii="Symbol" w:hAnsi="Symbol"/>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754"/>
    <w:rsid w:val="00061CC8"/>
    <w:rsid w:val="001A6754"/>
    <w:rsid w:val="005B64C0"/>
    <w:rsid w:val="00794E4F"/>
    <w:rsid w:val="00BE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2023-03-20T08:36:00Z</dcterms:created>
  <dcterms:modified xsi:type="dcterms:W3CDTF">2023-03-20T12:40:00Z</dcterms:modified>
</cp:coreProperties>
</file>